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2760D7D5" w:rsidR="005C211B" w:rsidRDefault="005B5977" w:rsidP="009E05ED">
      <w:pPr>
        <w:pStyle w:val="Heading1"/>
      </w:pPr>
      <w:r>
        <w:t xml:space="preserve">Project </w:t>
      </w:r>
      <w:r w:rsidR="008743A0">
        <w:t>Life Cycle</w:t>
      </w:r>
    </w:p>
    <w:p w14:paraId="121A0A4B" w14:textId="0DF18C3E" w:rsidR="00C172E1" w:rsidRDefault="00C172E1" w:rsidP="00545BBB">
      <w:pPr>
        <w:rPr>
          <w:lang w:val="en-US"/>
        </w:rPr>
      </w:pPr>
    </w:p>
    <w:p w14:paraId="1A729AAA" w14:textId="7257018D" w:rsidR="00E30323" w:rsidRDefault="008743A0" w:rsidP="008743A0">
      <w:pPr>
        <w:rPr>
          <w:lang w:val="en-US"/>
        </w:rPr>
      </w:pPr>
      <w:r>
        <w:rPr>
          <w:lang w:val="en-US"/>
        </w:rPr>
        <w:t xml:space="preserve">The inverse relationship between project risk/project uncertainty and the cost of project changes may appear counter-intuitive.  On many projects a </w:t>
      </w:r>
      <w:r w:rsidR="00621ACF">
        <w:rPr>
          <w:lang w:val="en-US"/>
        </w:rPr>
        <w:t>new risk</w:t>
      </w:r>
      <w:r>
        <w:rPr>
          <w:lang w:val="en-US"/>
        </w:rPr>
        <w:t xml:space="preserve"> is exposed late in the project </w:t>
      </w:r>
      <w:r w:rsidR="00621ACF">
        <w:rPr>
          <w:lang w:val="en-US"/>
        </w:rPr>
        <w:t xml:space="preserve">and </w:t>
      </w:r>
      <w:r>
        <w:rPr>
          <w:lang w:val="en-US"/>
        </w:rPr>
        <w:t>has a very high impact on the project cost and schedule.  At the same time, on many projects, changes are made to the requirements late in the project</w:t>
      </w:r>
      <w:r w:rsidR="00621ACF">
        <w:rPr>
          <w:lang w:val="en-US"/>
        </w:rPr>
        <w:t xml:space="preserve"> to match the result that was created.  These </w:t>
      </w:r>
      <w:r>
        <w:rPr>
          <w:lang w:val="en-US"/>
        </w:rPr>
        <w:t>cause very little impact to the project cost or schedule.  Explain these project occurrences</w:t>
      </w:r>
      <w:r w:rsidR="00621ACF">
        <w:rPr>
          <w:lang w:val="en-US"/>
        </w:rPr>
        <w:t xml:space="preserve"> in light of the curve shown below.</w:t>
      </w:r>
    </w:p>
    <w:p w14:paraId="06423122" w14:textId="77777777" w:rsidR="00621ACF" w:rsidRDefault="00621ACF" w:rsidP="008743A0">
      <w:pPr>
        <w:rPr>
          <w:lang w:val="en-US"/>
        </w:rPr>
      </w:pPr>
    </w:p>
    <w:p w14:paraId="34638C04" w14:textId="01412313" w:rsidR="00621ACF" w:rsidRPr="008743A0" w:rsidRDefault="00621ACF" w:rsidP="008743A0">
      <w:pPr>
        <w:rPr>
          <w:lang w:val="en-US"/>
        </w:rPr>
      </w:pPr>
      <w:r w:rsidRPr="00751394">
        <w:rPr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D3D85" wp14:editId="700E8031">
                <wp:simplePos x="0" y="0"/>
                <wp:positionH relativeFrom="column">
                  <wp:posOffset>-53340</wp:posOffset>
                </wp:positionH>
                <wp:positionV relativeFrom="paragraph">
                  <wp:posOffset>5707380</wp:posOffset>
                </wp:positionV>
                <wp:extent cx="5875020" cy="536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644DC" w14:textId="0DB84B25" w:rsidR="00621ACF" w:rsidRPr="00291C2C" w:rsidRDefault="00621ACF" w:rsidP="00621ACF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91C2C"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Project Management Institute, </w:t>
                            </w:r>
                            <w:r w:rsidRPr="00291C2C">
                              <w:rPr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A Guide to the Project Management Body of Knowledge, </w:t>
                            </w:r>
                            <w:r w:rsidRPr="00291C2C"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(</w:t>
                            </w:r>
                            <w:r w:rsidRPr="00291C2C">
                              <w:rPr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PMBOK® Guide</w:t>
                            </w:r>
                            <w:r w:rsidRPr="00291C2C"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) – </w:t>
                            </w:r>
                            <w:r w:rsidR="001F5E14"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Six</w:t>
                            </w:r>
                            <w:r w:rsidRPr="00291C2C"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th </w:t>
                            </w:r>
                            <w:r w:rsidRPr="00291C2C"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Edition, Project Management Institute, Inc., 201</w:t>
                            </w:r>
                            <w:r w:rsidR="001F5E14"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7</w:t>
                            </w:r>
                            <w:r w:rsidRPr="00291C2C"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, Figure </w:t>
                            </w:r>
                            <w:r w:rsidR="001F5E14"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1-3</w:t>
                            </w:r>
                            <w:r w:rsidRPr="00291C2C"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Page </w:t>
                            </w:r>
                            <w:r w:rsidR="001F5E14"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549</w:t>
                            </w:r>
                            <w:r w:rsidRPr="00291C2C"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4D3D8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4.2pt;margin-top:449.4pt;width:462.6pt;height:42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" stroked="f">
                <v:textbox style="mso-fit-shape-to-text:t">
                  <w:txbxContent>
                    <w:p w14:paraId="771644DC" w14:textId="0DB84B25" w:rsidR="00621ACF" w:rsidRPr="00291C2C" w:rsidRDefault="00621ACF" w:rsidP="00621ACF">
                      <w:pPr>
                        <w:rPr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r w:rsidRPr="00291C2C">
                        <w:rPr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Project Management Institute, </w:t>
                      </w:r>
                      <w:r w:rsidRPr="00291C2C">
                        <w:rPr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A Guide to the Project Management Body of Knowledge, </w:t>
                      </w:r>
                      <w:r w:rsidRPr="00291C2C">
                        <w:rPr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(</w:t>
                      </w:r>
                      <w:r w:rsidRPr="00291C2C">
                        <w:rPr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PMBOK® Guide</w:t>
                      </w:r>
                      <w:r w:rsidRPr="00291C2C">
                        <w:rPr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) – </w:t>
                      </w:r>
                      <w:r w:rsidR="001F5E14">
                        <w:rPr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Six</w:t>
                      </w:r>
                      <w:r w:rsidRPr="00291C2C">
                        <w:rPr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th </w:t>
                      </w:r>
                      <w:r w:rsidRPr="00291C2C">
                        <w:rPr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Edition, Project Management Institute, Inc., 201</w:t>
                      </w:r>
                      <w:r w:rsidR="001F5E14">
                        <w:rPr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7</w:t>
                      </w:r>
                      <w:r w:rsidRPr="00291C2C">
                        <w:rPr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, Figure </w:t>
                      </w:r>
                      <w:r w:rsidR="001F5E14">
                        <w:rPr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1-3</w:t>
                      </w:r>
                      <w:r w:rsidRPr="00291C2C">
                        <w:rPr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,</w:t>
                      </w:r>
                      <w:r>
                        <w:rPr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Page </w:t>
                      </w:r>
                      <w:r w:rsidR="001F5E14">
                        <w:rPr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549</w:t>
                      </w:r>
                      <w:r w:rsidRPr="00291C2C">
                        <w:rPr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Pr="001F0EFB">
        <w:rPr>
          <w:noProof/>
          <w:lang w:val="en-US"/>
        </w:rPr>
        <w:drawing>
          <wp:inline distT="0" distB="0" distL="0" distR="0" wp14:anchorId="00FF5407" wp14:editId="3AEB4DA5">
            <wp:extent cx="5396333" cy="2598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26" cy="259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ACF" w:rsidRPr="008743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BCBAB" w14:textId="77777777" w:rsidR="0011474A" w:rsidRDefault="0011474A" w:rsidP="003374FE">
      <w:pPr>
        <w:spacing w:after="0" w:line="240" w:lineRule="auto"/>
      </w:pPr>
      <w:r>
        <w:separator/>
      </w:r>
    </w:p>
  </w:endnote>
  <w:endnote w:type="continuationSeparator" w:id="0">
    <w:p w14:paraId="4BD9494F" w14:textId="77777777" w:rsidR="0011474A" w:rsidRDefault="0011474A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8FD72" w14:textId="77777777" w:rsidR="00B12E12" w:rsidRDefault="00B12E1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0106E" w14:textId="77777777" w:rsidR="00B12E12" w:rsidRDefault="00B12E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8DEC8" w14:textId="77777777" w:rsidR="0011474A" w:rsidRDefault="0011474A" w:rsidP="003374FE">
      <w:pPr>
        <w:spacing w:after="0" w:line="240" w:lineRule="auto"/>
      </w:pPr>
      <w:r>
        <w:separator/>
      </w:r>
    </w:p>
  </w:footnote>
  <w:footnote w:type="continuationSeparator" w:id="0">
    <w:p w14:paraId="1D670925" w14:textId="77777777" w:rsidR="0011474A" w:rsidRDefault="0011474A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AC55E" w14:textId="77777777" w:rsidR="00B12E12" w:rsidRDefault="00B12E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2989A2FC" w:rsidR="00894214" w:rsidRPr="00DB7164" w:rsidRDefault="00B12E12" w:rsidP="00695DE5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203E730B" wp14:editId="16D02A24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B67C8" w14:textId="77777777" w:rsidR="00B12E12" w:rsidRDefault="00B12E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872EF"/>
    <w:multiLevelType w:val="hybridMultilevel"/>
    <w:tmpl w:val="93E8D4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1474A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C0F72"/>
    <w:rsid w:val="001C32FF"/>
    <w:rsid w:val="001E2A22"/>
    <w:rsid w:val="001E2F25"/>
    <w:rsid w:val="001F5E14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638"/>
    <w:rsid w:val="00307A72"/>
    <w:rsid w:val="0031796B"/>
    <w:rsid w:val="0032348A"/>
    <w:rsid w:val="00323C76"/>
    <w:rsid w:val="003374FE"/>
    <w:rsid w:val="003637DD"/>
    <w:rsid w:val="00367C0D"/>
    <w:rsid w:val="00367C3E"/>
    <w:rsid w:val="003B404C"/>
    <w:rsid w:val="003C7CD1"/>
    <w:rsid w:val="00414495"/>
    <w:rsid w:val="0041515F"/>
    <w:rsid w:val="00416C32"/>
    <w:rsid w:val="004209FE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45BBB"/>
    <w:rsid w:val="00560DFC"/>
    <w:rsid w:val="0057042F"/>
    <w:rsid w:val="005743B3"/>
    <w:rsid w:val="00592E70"/>
    <w:rsid w:val="005966BF"/>
    <w:rsid w:val="005A4D5E"/>
    <w:rsid w:val="005B2CD1"/>
    <w:rsid w:val="005B5977"/>
    <w:rsid w:val="005C211B"/>
    <w:rsid w:val="005C2BBA"/>
    <w:rsid w:val="005C72AB"/>
    <w:rsid w:val="005D266C"/>
    <w:rsid w:val="00621ACF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95DE5"/>
    <w:rsid w:val="006A1F3D"/>
    <w:rsid w:val="006B0376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E533A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743A0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140DF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12E12"/>
    <w:rsid w:val="00B2009B"/>
    <w:rsid w:val="00B2227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C6025"/>
    <w:rsid w:val="00BC7AE3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7782D"/>
    <w:rsid w:val="00C8196D"/>
    <w:rsid w:val="00C9436F"/>
    <w:rsid w:val="00C95587"/>
    <w:rsid w:val="00CB30EE"/>
    <w:rsid w:val="00CC308D"/>
    <w:rsid w:val="00CC6104"/>
    <w:rsid w:val="00CF17F5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0323"/>
    <w:rsid w:val="00E3132C"/>
    <w:rsid w:val="00E429A5"/>
    <w:rsid w:val="00E45A5C"/>
    <w:rsid w:val="00E51332"/>
    <w:rsid w:val="00E566C4"/>
    <w:rsid w:val="00E75DA2"/>
    <w:rsid w:val="00E771B2"/>
    <w:rsid w:val="00E831E0"/>
    <w:rsid w:val="00E84727"/>
    <w:rsid w:val="00EC2A3F"/>
    <w:rsid w:val="00EE0167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42013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9CF816BA-5F81-4A93-813A-37113873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BC6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BC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5F83D5-618C-FF4B-A426-D69E547D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9</cp:revision>
  <cp:lastPrinted>2014-01-14T11:25:00Z</cp:lastPrinted>
  <dcterms:created xsi:type="dcterms:W3CDTF">2014-09-05T00:53:00Z</dcterms:created>
  <dcterms:modified xsi:type="dcterms:W3CDTF">2018-11-22T05:21:00Z</dcterms:modified>
</cp:coreProperties>
</file>